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Style w:val="a4"/>
          <w:rFonts w:ascii="ProximaNova-Regular" w:hAnsi="ProximaNova-Regular"/>
          <w:color w:val="000000"/>
          <w:sz w:val="25"/>
          <w:szCs w:val="25"/>
        </w:rPr>
        <w:t>В ходе семинара будут освещены следующие темы: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1. Оборот по реализации в целях исчисления налога на добавленную стоимость: определение даты совершения оборота по реализации и размера облагаемого оборота.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2. Порядок и сроки выписки электронных счетов - фактур в соответствии с действующими положениями законодательства. Рассмотрение вопросов выписки ЭСФ в иностранной валюте, в адрес нерезидентов, физических лиц.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3. Оформление исправленных и дополнительных счетов-фактур.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4. Порядок отнесения НДС в зачет - правила статьи 401 Налогового Кодекса. "Отложенный" НДС в зачет в программном обеспечении 1С.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5. Налог на добавленную стоимость, не относимый в зачет, корректировки сумм НДС, относимого в зачет - отражение в налоговой отчетности.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6. НДС за нерезидента: сроки и порядок уплаты; определение места реализации товаров, работ и услуг.</w:t>
      </w:r>
    </w:p>
    <w:p w:rsidR="0046451F" w:rsidRDefault="0046451F" w:rsidP="0046451F">
      <w:pPr>
        <w:pStyle w:val="a3"/>
        <w:shd w:val="clear" w:color="auto" w:fill="FFFFFF"/>
        <w:spacing w:before="0" w:beforeAutospacing="0" w:after="150" w:afterAutospacing="0"/>
        <w:rPr>
          <w:rFonts w:ascii="ProximaNova-Regular" w:hAnsi="ProximaNova-Regular"/>
          <w:color w:val="333333"/>
          <w:sz w:val="25"/>
          <w:szCs w:val="25"/>
        </w:rPr>
      </w:pPr>
      <w:r>
        <w:rPr>
          <w:rFonts w:ascii="ProximaNova-Regular" w:hAnsi="ProximaNova-Regular"/>
          <w:color w:val="000000"/>
          <w:sz w:val="25"/>
          <w:szCs w:val="25"/>
        </w:rPr>
        <w:t>7. Составление декларации по налогу на добавленную стоимость: заполнение основной формы и приложений.</w:t>
      </w:r>
    </w:p>
    <w:p w:rsidR="00B243E4" w:rsidRDefault="00B243E4">
      <w:bookmarkStart w:id="0" w:name="_GoBack"/>
      <w:bookmarkEnd w:id="0"/>
    </w:p>
    <w:sectPr w:rsidR="00B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1F"/>
    <w:rsid w:val="0046451F"/>
    <w:rsid w:val="00B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C218F-5560-4F27-B869-660285D6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2019-09-24T04:18:00Z</dcterms:created>
  <dcterms:modified xsi:type="dcterms:W3CDTF">2019-09-24T04:18:00Z</dcterms:modified>
</cp:coreProperties>
</file>